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>Full Professor (research and</w:t>
      </w:r>
      <w:r w:rsidR="001034C9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teaching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>)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Numerous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) Several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the very best publication channels within the research area. 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Many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Excellent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H-index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 xml:space="preserve"> (depending on research area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).</w:t>
      </w:r>
    </w:p>
    <w:p w:rsidR="00686EAD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Extensive i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nternational research collaborations (e.g. joint papers and applications).</w:t>
      </w:r>
    </w:p>
    <w:p w:rsidR="00C8703E" w:rsidRPr="009E5161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6728AA" w:rsidRDefault="00E13F7F" w:rsidP="00672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728AA" w:rsidRPr="006728AA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PhD-study/employment in a world-class research group.</w:t>
      </w:r>
    </w:p>
    <w:p w:rsidR="00E13F7F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perform ground-breaking research.</w:t>
      </w:r>
    </w:p>
    <w:p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to provide scientific leadership, inspiration and guidance of research colleagues.</w:t>
      </w:r>
    </w:p>
    <w:p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to m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anage large research projects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attract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 xml:space="preserve">substantial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external funding.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  <w:bookmarkStart w:id="0" w:name="_GoBack"/>
      <w:bookmarkEnd w:id="0"/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of PhD students and Master’s thesis students/bachelor projects.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 (B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AA" w:rsidRPr="006728AA" w:rsidRDefault="006728AA" w:rsidP="006728AA">
    <w:pPr>
      <w:pStyle w:val="Sidehoved"/>
      <w:jc w:val="right"/>
      <w:rPr>
        <w:rFonts w:ascii="Arial" w:hAnsi="Arial" w:cs="Arial"/>
        <w:sz w:val="16"/>
        <w:szCs w:val="16"/>
      </w:rPr>
    </w:pPr>
    <w:r w:rsidRPr="006728AA">
      <w:rPr>
        <w:rFonts w:ascii="Arial" w:hAnsi="Arial" w:cs="Arial"/>
        <w:sz w:val="16"/>
        <w:szCs w:val="16"/>
      </w:rPr>
      <w:t>Science and Technology (revised June 2018)</w:t>
    </w:r>
  </w:p>
  <w:p w:rsidR="006728AA" w:rsidRDefault="006728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4C9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2164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81E0D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A7882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28AA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3651A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5272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87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3569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57DA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3007C-F2A4-4AE2-8B3A-885234D5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6728AA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40AA-1AB7-4732-86B6-D21E5F2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Mainz</cp:lastModifiedBy>
  <cp:revision>2</cp:revision>
  <cp:lastPrinted>2013-02-19T12:45:00Z</cp:lastPrinted>
  <dcterms:created xsi:type="dcterms:W3CDTF">2018-07-10T11:21:00Z</dcterms:created>
  <dcterms:modified xsi:type="dcterms:W3CDTF">2018-07-10T11:21:00Z</dcterms:modified>
</cp:coreProperties>
</file>